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C1" w:rsidRDefault="00A66BC1" w:rsidP="00A66BC1">
      <w:pPr>
        <w:jc w:val="center"/>
        <w:rPr>
          <w:rFonts w:cs="Verdana"/>
          <w:b/>
          <w:bCs/>
          <w:caps/>
          <w:snapToGrid w:val="0"/>
          <w:u w:val="single"/>
          <w:lang w:val="es-ES"/>
        </w:rPr>
      </w:pPr>
      <w:r>
        <w:rPr>
          <w:rFonts w:cs="Verdana"/>
          <w:b/>
          <w:bCs/>
          <w:snapToGrid w:val="0"/>
          <w:u w:val="single"/>
          <w:lang w:val="es-ES"/>
        </w:rPr>
        <w:t xml:space="preserve">Vereda La Esperanza </w:t>
      </w:r>
      <w:r>
        <w:rPr>
          <w:rFonts w:cs="Verdana"/>
          <w:b/>
          <w:bCs/>
          <w:i/>
          <w:snapToGrid w:val="0"/>
          <w:u w:val="single"/>
          <w:lang w:val="es-ES"/>
        </w:rPr>
        <w:t>Vs.</w:t>
      </w:r>
      <w:r>
        <w:rPr>
          <w:rFonts w:cs="Verdana"/>
          <w:b/>
          <w:bCs/>
          <w:snapToGrid w:val="0"/>
          <w:u w:val="single"/>
          <w:lang w:val="es-ES"/>
        </w:rPr>
        <w:t xml:space="preserve"> Colombia: reparaciones pendientes de cumplimiento</w:t>
      </w:r>
    </w:p>
    <w:p w:rsidR="00C860B2" w:rsidRDefault="00C860B2">
      <w:pPr>
        <w:rPr>
          <w:lang w:val="es-ES"/>
        </w:rPr>
      </w:pPr>
    </w:p>
    <w:p w:rsidR="00A66BC1" w:rsidRDefault="00A66BC1">
      <w:pPr>
        <w:rPr>
          <w:lang w:val="es-ES"/>
        </w:rPr>
      </w:pPr>
    </w:p>
    <w:p w:rsidR="00A66BC1" w:rsidRPr="00A66BC1" w:rsidRDefault="00A66BC1" w:rsidP="00A66BC1">
      <w:pPr>
        <w:pStyle w:val="Prrafodelista"/>
        <w:widowControl w:val="0"/>
        <w:numPr>
          <w:ilvl w:val="0"/>
          <w:numId w:val="1"/>
        </w:numPr>
        <w:autoSpaceDE w:val="0"/>
        <w:autoSpaceDN w:val="0"/>
        <w:adjustRightInd w:val="0"/>
        <w:spacing w:before="240" w:after="240"/>
      </w:pPr>
      <w:r>
        <w:rPr>
          <w:rFonts w:eastAsia="Times"/>
          <w:szCs w:val="20"/>
          <w:lang w:val="es-ES" w:eastAsia="es-ES"/>
        </w:rPr>
        <w:t>C</w:t>
      </w:r>
      <w:proofErr w:type="spellStart"/>
      <w:r>
        <w:rPr>
          <w:szCs w:val="20"/>
        </w:rPr>
        <w:t>ontinuar</w:t>
      </w:r>
      <w:proofErr w:type="spellEnd"/>
      <w:r>
        <w:rPr>
          <w:szCs w:val="20"/>
        </w:rPr>
        <w:t xml:space="preserve"> con las investigaciones y procesos judiciales en curso que correspondan a efectos de determinar los hechos y las responsabilidades correspondientes, en los términos de los párrafos 268 y 269 de esta Sentencia.</w:t>
      </w:r>
    </w:p>
    <w:p w:rsidR="00A66BC1" w:rsidRDefault="00A66BC1" w:rsidP="00A66BC1">
      <w:pPr>
        <w:pStyle w:val="Prrafodelista"/>
        <w:widowControl w:val="0"/>
        <w:autoSpaceDE w:val="0"/>
        <w:autoSpaceDN w:val="0"/>
        <w:adjustRightInd w:val="0"/>
        <w:spacing w:before="240" w:after="240"/>
        <w:ind w:left="0"/>
      </w:pPr>
    </w:p>
    <w:p w:rsidR="00A66BC1" w:rsidRPr="00C44220" w:rsidRDefault="00A66BC1" w:rsidP="00C44220">
      <w:pPr>
        <w:pStyle w:val="Prrafodelista"/>
        <w:numPr>
          <w:ilvl w:val="0"/>
          <w:numId w:val="1"/>
        </w:numPr>
        <w:spacing w:before="240" w:after="240"/>
        <w:rPr>
          <w:b/>
          <w:szCs w:val="20"/>
        </w:rPr>
      </w:pPr>
      <w:r>
        <w:rPr>
          <w:rFonts w:cs="Verdana-Italic"/>
          <w:iCs/>
          <w:spacing w:val="-2"/>
          <w:szCs w:val="20"/>
          <w:lang w:bidi="en-US"/>
        </w:rPr>
        <w:t xml:space="preserve">Efectuar una búsqueda rigurosa por las vías pertinentes, en la cual realice todos los esfuerzos para determinar, a la mayor brevedad, el paradero de las doce víctimas cuyo destino aún se desconoce en los términos de los párrafos 273 a 275 de esta Sentencia. </w:t>
      </w:r>
    </w:p>
    <w:p w:rsidR="00A66BC1" w:rsidRDefault="00A66BC1" w:rsidP="00A66BC1">
      <w:pPr>
        <w:pStyle w:val="Prrafodelista"/>
        <w:widowControl w:val="0"/>
        <w:tabs>
          <w:tab w:val="left" w:pos="90"/>
        </w:tabs>
        <w:suppressAutoHyphens/>
        <w:autoSpaceDE w:val="0"/>
        <w:spacing w:before="240" w:after="240"/>
        <w:ind w:left="0"/>
        <w:rPr>
          <w:rFonts w:cs="Verdana-Italic"/>
          <w:iCs/>
          <w:spacing w:val="-2"/>
          <w:szCs w:val="20"/>
          <w:lang w:bidi="en-US"/>
        </w:rPr>
      </w:pPr>
      <w:r>
        <w:rPr>
          <w:rFonts w:cs="Verdana-Italic"/>
          <w:spacing w:val="-2"/>
          <w:szCs w:val="20"/>
          <w:lang w:bidi="en-US"/>
        </w:rPr>
        <w:t xml:space="preserve"> </w:t>
      </w:r>
    </w:p>
    <w:p w:rsidR="00A66BC1" w:rsidRPr="00A66BC1" w:rsidRDefault="00A66BC1" w:rsidP="00A66BC1">
      <w:pPr>
        <w:pStyle w:val="Prrafodelista"/>
        <w:numPr>
          <w:ilvl w:val="0"/>
          <w:numId w:val="1"/>
        </w:numPr>
        <w:spacing w:before="240" w:after="240"/>
        <w:rPr>
          <w:rFonts w:cs="Verdana-Italic"/>
          <w:iCs/>
          <w:spacing w:val="-2"/>
          <w:lang w:bidi="en-US"/>
        </w:rPr>
      </w:pPr>
      <w:r>
        <w:rPr>
          <w:rFonts w:cs="Verdana-Italic"/>
          <w:spacing w:val="-2"/>
          <w:szCs w:val="20"/>
          <w:lang w:bidi="en-US"/>
        </w:rPr>
        <w:t>Realizar un acto público de reconocimiento de responsabilidad internacional en Colombia, en relación con los hechos de este caso</w:t>
      </w:r>
      <w:r>
        <w:rPr>
          <w:spacing w:val="-2"/>
          <w:lang w:bidi="en-US"/>
        </w:rPr>
        <w:t xml:space="preserve">, </w:t>
      </w:r>
      <w:r>
        <w:rPr>
          <w:rFonts w:cs="Verdana-Italic"/>
          <w:iCs/>
          <w:spacing w:val="-2"/>
          <w:szCs w:val="20"/>
          <w:lang w:bidi="en-US"/>
        </w:rPr>
        <w:t>en los términos de los párrafos 284 y 285 de esta Sentencia</w:t>
      </w:r>
      <w:r>
        <w:rPr>
          <w:rFonts w:cs="Verdana-Italic"/>
          <w:spacing w:val="-2"/>
          <w:szCs w:val="20"/>
          <w:lang w:bidi="en-US"/>
        </w:rPr>
        <w:t>.</w:t>
      </w:r>
    </w:p>
    <w:p w:rsidR="00A66BC1" w:rsidRDefault="00A66BC1" w:rsidP="00A66BC1">
      <w:pPr>
        <w:pStyle w:val="Prrafodelista"/>
        <w:spacing w:before="240" w:after="240"/>
        <w:ind w:left="0"/>
        <w:rPr>
          <w:rFonts w:cs="Verdana-Italic"/>
          <w:iCs/>
          <w:spacing w:val="-2"/>
          <w:lang w:bidi="en-US"/>
        </w:rPr>
      </w:pPr>
    </w:p>
    <w:p w:rsidR="00A66BC1" w:rsidRPr="00A66BC1" w:rsidRDefault="00A66BC1" w:rsidP="00A66BC1">
      <w:pPr>
        <w:pStyle w:val="Prrafodelista"/>
        <w:numPr>
          <w:ilvl w:val="0"/>
          <w:numId w:val="1"/>
        </w:numPr>
        <w:spacing w:before="240" w:after="240"/>
        <w:rPr>
          <w:rFonts w:cs="Verdana-Italic"/>
          <w:iCs/>
          <w:spacing w:val="-2"/>
          <w:szCs w:val="20"/>
          <w:lang w:bidi="en-US"/>
        </w:rPr>
      </w:pPr>
      <w:r>
        <w:rPr>
          <w:rFonts w:eastAsia="Times"/>
          <w:szCs w:val="20"/>
          <w:lang w:eastAsia="es-ES"/>
        </w:rPr>
        <w:t>B</w:t>
      </w:r>
      <w:r>
        <w:rPr>
          <w:rFonts w:cs="Verdana-Italic"/>
          <w:spacing w:val="-2"/>
          <w:szCs w:val="20"/>
          <w:lang w:bidi="en-US"/>
        </w:rPr>
        <w:t xml:space="preserve">rindar el tratamiento médico y psicológico o psiquiátrico, a las víctimas que así lo soliciten </w:t>
      </w:r>
      <w:r>
        <w:rPr>
          <w:rFonts w:cs="Verdana-Italic"/>
          <w:iCs/>
          <w:spacing w:val="-2"/>
          <w:szCs w:val="20"/>
          <w:lang w:bidi="en-US"/>
        </w:rPr>
        <w:t>en los términos de los párrafos 278 y 279 de esta Sentencia</w:t>
      </w:r>
      <w:r>
        <w:rPr>
          <w:rFonts w:cs="Verdana-Italic"/>
          <w:spacing w:val="-2"/>
          <w:szCs w:val="20"/>
          <w:lang w:bidi="en-US"/>
        </w:rPr>
        <w:t>.</w:t>
      </w:r>
    </w:p>
    <w:p w:rsidR="00A66BC1" w:rsidRDefault="00A66BC1" w:rsidP="00A66BC1">
      <w:pPr>
        <w:pStyle w:val="Prrafodelista"/>
        <w:spacing w:before="240" w:after="240"/>
        <w:ind w:left="0"/>
        <w:rPr>
          <w:rFonts w:cs="Verdana-Italic"/>
          <w:iCs/>
          <w:spacing w:val="-2"/>
          <w:szCs w:val="20"/>
          <w:lang w:bidi="en-US"/>
        </w:rPr>
      </w:pPr>
    </w:p>
    <w:p w:rsidR="00A66BC1" w:rsidRPr="00A66BC1" w:rsidRDefault="00A66BC1" w:rsidP="00A66BC1">
      <w:pPr>
        <w:pStyle w:val="Prrafodelista"/>
        <w:numPr>
          <w:ilvl w:val="0"/>
          <w:numId w:val="1"/>
        </w:numPr>
        <w:spacing w:before="240" w:after="240"/>
        <w:rPr>
          <w:rFonts w:cs="Verdana-Italic"/>
          <w:iCs/>
          <w:spacing w:val="-2"/>
          <w:szCs w:val="20"/>
          <w:lang w:bidi="en-US"/>
        </w:rPr>
      </w:pPr>
      <w:r>
        <w:rPr>
          <w:szCs w:val="20"/>
        </w:rPr>
        <w:t>L</w:t>
      </w:r>
      <w:r>
        <w:rPr>
          <w:rFonts w:cs="Times New Roman"/>
          <w:szCs w:val="20"/>
        </w:rPr>
        <w:t>evantar un monumento en la memoria de las personas desaparecidas y ejecutada, en los términos del párrafo 286 de esta Sentencia.</w:t>
      </w:r>
    </w:p>
    <w:p w:rsidR="00A66BC1" w:rsidRDefault="00A66BC1" w:rsidP="00A66BC1">
      <w:pPr>
        <w:pStyle w:val="Prrafodelista"/>
        <w:spacing w:before="240" w:after="240"/>
        <w:ind w:left="0"/>
        <w:rPr>
          <w:rFonts w:cs="Verdana-Italic"/>
          <w:iCs/>
          <w:spacing w:val="-2"/>
          <w:szCs w:val="20"/>
          <w:lang w:bidi="en-US"/>
        </w:rPr>
      </w:pPr>
    </w:p>
    <w:p w:rsidR="00A66BC1" w:rsidRPr="00A66BC1" w:rsidRDefault="00A66BC1" w:rsidP="00A66BC1">
      <w:pPr>
        <w:pStyle w:val="Prrafodelista"/>
        <w:numPr>
          <w:ilvl w:val="0"/>
          <w:numId w:val="1"/>
        </w:numPr>
        <w:spacing w:before="240" w:after="240"/>
        <w:rPr>
          <w:rFonts w:cs="Verdana-Italic"/>
          <w:iCs/>
          <w:spacing w:val="-2"/>
          <w:lang w:bidi="en-US"/>
        </w:rPr>
      </w:pPr>
      <w:r>
        <w:rPr>
          <w:rFonts w:cs="Times New Roman"/>
          <w:szCs w:val="20"/>
        </w:rPr>
        <w:t>Otorgar becas para realizar estudios en una universidad pública a los hijos de las víctimas que así lo soliciten, en los términos del párrafo 286 de esta Sentencia.</w:t>
      </w:r>
    </w:p>
    <w:p w:rsidR="00A66BC1" w:rsidRDefault="00A66BC1" w:rsidP="00A66BC1">
      <w:pPr>
        <w:pStyle w:val="Prrafodelista"/>
        <w:spacing w:before="240" w:after="240"/>
        <w:ind w:left="0"/>
        <w:rPr>
          <w:rFonts w:cs="Verdana-Italic"/>
          <w:iCs/>
          <w:spacing w:val="-2"/>
          <w:lang w:bidi="en-US"/>
        </w:rPr>
      </w:pPr>
    </w:p>
    <w:p w:rsidR="00A66BC1" w:rsidRPr="00A66BC1" w:rsidRDefault="00A66BC1" w:rsidP="00A66BC1">
      <w:pPr>
        <w:pStyle w:val="Prrafodelista"/>
        <w:numPr>
          <w:ilvl w:val="0"/>
          <w:numId w:val="1"/>
        </w:numPr>
        <w:spacing w:before="240" w:after="240"/>
        <w:rPr>
          <w:rFonts w:cs="Verdana-Italic"/>
          <w:iCs/>
          <w:spacing w:val="-2"/>
          <w:lang w:bidi="en-US"/>
        </w:rPr>
      </w:pPr>
      <w:r>
        <w:t xml:space="preserve">Pagar las cantidades fijadas en los párrafos 300 a 312 de la presente </w:t>
      </w:r>
      <w:r>
        <w:rPr>
          <w:rFonts w:cs="Times New Roman"/>
          <w:szCs w:val="20"/>
        </w:rPr>
        <w:t>Sentencia</w:t>
      </w:r>
      <w:r>
        <w:t xml:space="preserve"> por concepto de indemnizaciones por daños materiales e inmateriales y por el reintegro de costas y gastos, en los términos de los párrafos 314 y 315 de esta Sentencia.</w:t>
      </w:r>
    </w:p>
    <w:p w:rsidR="00A66BC1" w:rsidRPr="00A66BC1" w:rsidRDefault="00A66BC1">
      <w:bookmarkStart w:id="0" w:name="_GoBack"/>
      <w:bookmarkEnd w:id="0"/>
    </w:p>
    <w:sectPr w:rsidR="00A66BC1" w:rsidRPr="00A66BC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2C" w:rsidRDefault="00C51B2C" w:rsidP="00C51B2C">
      <w:r>
        <w:separator/>
      </w:r>
    </w:p>
  </w:endnote>
  <w:endnote w:type="continuationSeparator" w:id="0">
    <w:p w:rsidR="00C51B2C" w:rsidRDefault="00C51B2C" w:rsidP="00C5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Pr="00F35356" w:rsidRDefault="00C51B2C" w:rsidP="00C51B2C">
    <w:pPr>
      <w:pStyle w:val="Piedepgina"/>
      <w:jc w:val="both"/>
      <w:rPr>
        <w:lang w:val="es-MX"/>
      </w:rPr>
    </w:pPr>
    <w:r w:rsidRPr="00911C21">
      <w:rPr>
        <w:bCs/>
        <w:sz w:val="16"/>
        <w:szCs w:val="16"/>
        <w:lang w:val="es-MX"/>
      </w:rPr>
      <w:t xml:space="preserve">La presente sistematización de información fue </w:t>
    </w:r>
    <w:r>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51B2C" w:rsidRPr="00C51B2C" w:rsidRDefault="00C51B2C">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2C" w:rsidRDefault="00C51B2C" w:rsidP="00C51B2C">
      <w:r>
        <w:separator/>
      </w:r>
    </w:p>
  </w:footnote>
  <w:footnote w:type="continuationSeparator" w:id="0">
    <w:p w:rsidR="00C51B2C" w:rsidRDefault="00C51B2C" w:rsidP="00C5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C9"/>
    <w:rsid w:val="002717C9"/>
    <w:rsid w:val="00A66BC1"/>
    <w:rsid w:val="00C44220"/>
    <w:rsid w:val="00C51B2C"/>
    <w:rsid w:val="00C860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5E14"/>
  <w15:docId w15:val="{D0178A07-C7BD-4374-8DC3-6321DF6A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C1"/>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34"/>
    <w:locked/>
    <w:rsid w:val="00A66BC1"/>
    <w:rPr>
      <w:rFonts w:ascii="Verdana" w:eastAsia="Batang" w:hAnsi="Verdana" w:cs="Times"/>
      <w:sz w:val="20"/>
      <w:szCs w:val="24"/>
      <w:lang w:val="es-ES_tradnl"/>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A66BC1"/>
    <w:pPr>
      <w:ind w:left="720"/>
      <w:contextualSpacing/>
      <w:jc w:val="both"/>
    </w:pPr>
    <w:rPr>
      <w:rFonts w:eastAsia="Batang" w:cs="Times"/>
      <w:szCs w:val="24"/>
    </w:rPr>
  </w:style>
  <w:style w:type="paragraph" w:styleId="Encabezado">
    <w:name w:val="header"/>
    <w:basedOn w:val="Normal"/>
    <w:link w:val="EncabezadoCar"/>
    <w:uiPriority w:val="99"/>
    <w:unhideWhenUsed/>
    <w:rsid w:val="00C51B2C"/>
    <w:pPr>
      <w:tabs>
        <w:tab w:val="center" w:pos="4680"/>
        <w:tab w:val="right" w:pos="9360"/>
      </w:tabs>
    </w:pPr>
  </w:style>
  <w:style w:type="character" w:customStyle="1" w:styleId="EncabezadoCar">
    <w:name w:val="Encabezado Car"/>
    <w:basedOn w:val="Fuentedeprrafopredeter"/>
    <w:link w:val="Encabezado"/>
    <w:uiPriority w:val="99"/>
    <w:rsid w:val="00C51B2C"/>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C51B2C"/>
    <w:pPr>
      <w:tabs>
        <w:tab w:val="center" w:pos="4680"/>
        <w:tab w:val="right" w:pos="9360"/>
      </w:tabs>
    </w:pPr>
  </w:style>
  <w:style w:type="character" w:customStyle="1" w:styleId="PiedepginaCar">
    <w:name w:val="Pie de página Car"/>
    <w:basedOn w:val="Fuentedeprrafopredeter"/>
    <w:link w:val="Piedepgina"/>
    <w:uiPriority w:val="99"/>
    <w:rsid w:val="00C51B2C"/>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7107">
      <w:bodyDiv w:val="1"/>
      <w:marLeft w:val="0"/>
      <w:marRight w:val="0"/>
      <w:marTop w:val="0"/>
      <w:marBottom w:val="0"/>
      <w:divBdr>
        <w:top w:val="none" w:sz="0" w:space="0" w:color="auto"/>
        <w:left w:val="none" w:sz="0" w:space="0" w:color="auto"/>
        <w:bottom w:val="none" w:sz="0" w:space="0" w:color="auto"/>
        <w:right w:val="none" w:sz="0" w:space="0" w:color="auto"/>
      </w:divBdr>
    </w:div>
    <w:div w:id="16583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 Valverde</dc:creator>
  <cp:keywords/>
  <dc:description/>
  <cp:lastModifiedBy>Tsaitami Ordonez</cp:lastModifiedBy>
  <cp:revision>4</cp:revision>
  <dcterms:created xsi:type="dcterms:W3CDTF">2018-01-09T16:21:00Z</dcterms:created>
  <dcterms:modified xsi:type="dcterms:W3CDTF">2021-02-19T16:12:00Z</dcterms:modified>
</cp:coreProperties>
</file>